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景德镇市</w:t>
      </w:r>
      <w:r>
        <w:rPr>
          <w:rFonts w:hint="eastAsia" w:ascii="宋体" w:hAnsi="宋体" w:eastAsia="宋体" w:cs="宋体"/>
          <w:b/>
          <w:bCs/>
          <w:color w:val="auto"/>
          <w:sz w:val="44"/>
          <w:szCs w:val="44"/>
          <w:lang w:eastAsia="zh-CN"/>
        </w:rPr>
        <w:t>外办</w:t>
      </w:r>
      <w:r>
        <w:rPr>
          <w:rFonts w:hint="eastAsia" w:ascii="宋体" w:hAnsi="宋体" w:eastAsia="宋体" w:cs="宋体"/>
          <w:b/>
          <w:bCs/>
          <w:color w:val="auto"/>
          <w:sz w:val="44"/>
          <w:szCs w:val="44"/>
          <w:lang w:val="en-US" w:eastAsia="zh-CN"/>
        </w:rPr>
        <w:t>2019</w:t>
      </w:r>
      <w:r>
        <w:rPr>
          <w:rFonts w:hint="eastAsia" w:ascii="宋体" w:hAnsi="宋体" w:eastAsia="宋体" w:cs="宋体"/>
          <w:b/>
          <w:bCs/>
          <w:color w:val="auto"/>
          <w:sz w:val="44"/>
          <w:szCs w:val="44"/>
        </w:rPr>
        <w:t>年部门预算</w:t>
      </w:r>
    </w:p>
    <w:p>
      <w:pPr>
        <w:spacing w:line="860" w:lineRule="exact"/>
        <w:jc w:val="center"/>
        <w:rPr>
          <w:rFonts w:hint="eastAsia" w:ascii="仿宋_GB2312" w:hAnsi="仿宋" w:eastAsia="仿宋_GB2312" w:cs="仿宋_GB2312"/>
          <w:b/>
          <w:bCs/>
          <w:color w:val="auto"/>
          <w:sz w:val="32"/>
          <w:szCs w:val="32"/>
        </w:rPr>
      </w:pPr>
    </w:p>
    <w:p>
      <w:pPr>
        <w:spacing w:before="240"/>
        <w:jc w:val="center"/>
        <w:rPr>
          <w:rFonts w:ascii="仿宋_GB2312" w:hAnsi="仿宋" w:eastAsia="仿宋_GB2312" w:cs="Times New Roman"/>
          <w:b/>
          <w:bCs/>
          <w:color w:val="auto"/>
          <w:sz w:val="32"/>
          <w:szCs w:val="32"/>
        </w:rPr>
      </w:pPr>
      <w:r>
        <w:rPr>
          <w:rFonts w:hint="eastAsia" w:ascii="仿宋_GB2312" w:hAnsi="仿宋" w:eastAsia="仿宋_GB2312" w:cs="仿宋_GB2312"/>
          <w:b/>
          <w:bCs/>
          <w:color w:val="auto"/>
          <w:sz w:val="32"/>
          <w:szCs w:val="32"/>
        </w:rPr>
        <w:t>目</w:t>
      </w:r>
      <w:r>
        <w:rPr>
          <w:rFonts w:ascii="仿宋_GB2312" w:hAnsi="仿宋" w:eastAsia="仿宋_GB2312" w:cs="仿宋_GB2312"/>
          <w:b/>
          <w:bCs/>
          <w:color w:val="auto"/>
          <w:sz w:val="32"/>
          <w:szCs w:val="32"/>
        </w:rPr>
        <w:t xml:space="preserve">   </w:t>
      </w:r>
      <w:r>
        <w:rPr>
          <w:rFonts w:hint="eastAsia" w:ascii="仿宋_GB2312" w:hAnsi="仿宋" w:eastAsia="仿宋_GB2312" w:cs="仿宋_GB2312"/>
          <w:b/>
          <w:bCs/>
          <w:color w:val="auto"/>
          <w:sz w:val="32"/>
          <w:szCs w:val="32"/>
        </w:rPr>
        <w:t>录</w:t>
      </w:r>
    </w:p>
    <w:p>
      <w:pPr>
        <w:ind w:firstLine="640" w:firstLineChars="200"/>
        <w:rPr>
          <w:rFonts w:ascii="黑体" w:eastAsia="黑体" w:cs="Times New Roman"/>
          <w:color w:val="auto"/>
          <w:sz w:val="32"/>
          <w:szCs w:val="32"/>
        </w:rPr>
      </w:pPr>
      <w:r>
        <w:rPr>
          <w:rFonts w:hint="eastAsia" w:ascii="黑体" w:hAnsi="宋体" w:eastAsia="黑体" w:cs="黑体"/>
          <w:color w:val="auto"/>
          <w:sz w:val="32"/>
          <w:szCs w:val="32"/>
        </w:rPr>
        <w:t>第一部分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外办</w:t>
      </w:r>
      <w:r>
        <w:rPr>
          <w:rFonts w:hint="eastAsia" w:ascii="黑体" w:hAnsi="宋体" w:eastAsia="黑体" w:cs="黑体"/>
          <w:color w:val="auto"/>
          <w:sz w:val="32"/>
          <w:szCs w:val="32"/>
        </w:rPr>
        <w:t>概况</w:t>
      </w:r>
    </w:p>
    <w:p>
      <w:pPr>
        <w:ind w:firstLine="640" w:firstLineChars="200"/>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一、部门主要职责</w:t>
      </w:r>
    </w:p>
    <w:p>
      <w:pPr>
        <w:ind w:firstLine="640" w:firstLineChars="200"/>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二、部门基本情况</w:t>
      </w:r>
    </w:p>
    <w:p>
      <w:pPr>
        <w:ind w:firstLine="640" w:firstLineChars="200"/>
        <w:rPr>
          <w:rFonts w:ascii="黑体" w:hAnsi="宋体" w:eastAsia="黑体" w:cs="Times New Roman"/>
          <w:color w:val="auto"/>
          <w:sz w:val="32"/>
          <w:szCs w:val="32"/>
        </w:rPr>
      </w:pPr>
      <w:r>
        <w:rPr>
          <w:rFonts w:hint="eastAsia" w:ascii="黑体" w:hAnsi="宋体" w:eastAsia="黑体" w:cs="黑体"/>
          <w:color w:val="auto"/>
          <w:sz w:val="32"/>
          <w:szCs w:val="32"/>
        </w:rPr>
        <w:t>第二部分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外办</w:t>
      </w:r>
      <w:r>
        <w:rPr>
          <w:rFonts w:hint="eastAsia" w:ascii="黑体" w:hAnsi="宋体" w:eastAsia="黑体" w:cs="黑体"/>
          <w:color w:val="auto"/>
          <w:sz w:val="32"/>
          <w:szCs w:val="32"/>
          <w:lang w:val="en-US" w:eastAsia="zh-CN"/>
        </w:rPr>
        <w:t>2019</w:t>
      </w:r>
      <w:r>
        <w:rPr>
          <w:rFonts w:hint="eastAsia" w:ascii="黑体" w:hAnsi="宋体" w:eastAsia="黑体" w:cs="黑体"/>
          <w:color w:val="auto"/>
          <w:sz w:val="32"/>
          <w:szCs w:val="32"/>
        </w:rPr>
        <w:t>年部门预算情况说明</w:t>
      </w:r>
    </w:p>
    <w:p>
      <w:pPr>
        <w:ind w:firstLine="960" w:firstLineChars="300"/>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一、</w:t>
      </w:r>
      <w:r>
        <w:rPr>
          <w:rFonts w:hint="eastAsia" w:ascii="仿宋_GB2312" w:hAnsi="宋体" w:eastAsia="仿宋_GB2312" w:cs="仿宋_GB2312"/>
          <w:color w:val="auto"/>
          <w:sz w:val="32"/>
          <w:szCs w:val="32"/>
          <w:lang w:val="en-US" w:eastAsia="zh-CN"/>
        </w:rPr>
        <w:t>2019</w:t>
      </w:r>
      <w:r>
        <w:rPr>
          <w:rFonts w:hint="eastAsia" w:ascii="仿宋_GB2312" w:hAnsi="宋体" w:eastAsia="仿宋_GB2312" w:cs="仿宋_GB2312"/>
          <w:color w:val="auto"/>
          <w:sz w:val="32"/>
          <w:szCs w:val="32"/>
        </w:rPr>
        <w:t>年部门预算收支情况说明</w:t>
      </w:r>
    </w:p>
    <w:p>
      <w:pPr>
        <w:ind w:firstLine="960" w:firstLineChars="300"/>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二、</w:t>
      </w:r>
      <w:r>
        <w:rPr>
          <w:rFonts w:hint="eastAsia" w:ascii="仿宋_GB2312" w:hAnsi="宋体" w:eastAsia="仿宋_GB2312" w:cs="仿宋_GB2312"/>
          <w:color w:val="auto"/>
          <w:sz w:val="32"/>
          <w:szCs w:val="32"/>
          <w:lang w:val="en-US" w:eastAsia="zh-CN"/>
        </w:rPr>
        <w:t>2019</w:t>
      </w:r>
      <w:r>
        <w:rPr>
          <w:rFonts w:hint="eastAsia" w:ascii="仿宋_GB2312" w:hAnsi="宋体" w:eastAsia="仿宋_GB2312" w:cs="仿宋_GB2312"/>
          <w:color w:val="auto"/>
          <w:sz w:val="32"/>
          <w:szCs w:val="32"/>
        </w:rPr>
        <w:t>年“三公”经费预算情况说明</w:t>
      </w:r>
    </w:p>
    <w:p>
      <w:pPr>
        <w:ind w:firstLine="640" w:firstLineChars="200"/>
        <w:rPr>
          <w:rFonts w:ascii="黑体" w:hAnsi="宋体" w:eastAsia="黑体" w:cs="Times New Roman"/>
          <w:color w:val="auto"/>
          <w:sz w:val="32"/>
          <w:szCs w:val="32"/>
        </w:rPr>
      </w:pPr>
      <w:r>
        <w:rPr>
          <w:rFonts w:hint="eastAsia" w:ascii="黑体" w:hAnsi="宋体" w:eastAsia="黑体" w:cs="黑体"/>
          <w:color w:val="auto"/>
          <w:sz w:val="32"/>
          <w:szCs w:val="32"/>
        </w:rPr>
        <w:t>第三部分</w:t>
      </w:r>
      <w:r>
        <w:rPr>
          <w:rFonts w:ascii="黑体" w:hAnsi="宋体" w:eastAsia="黑体" w:cs="黑体"/>
          <w:color w:val="auto"/>
          <w:sz w:val="32"/>
          <w:szCs w:val="32"/>
        </w:rPr>
        <w:t xml:space="preserve"> </w:t>
      </w:r>
      <w:r>
        <w:rPr>
          <w:rFonts w:hint="eastAsia" w:ascii="黑体" w:hAnsi="宋体" w:eastAsia="黑体" w:cs="黑体"/>
          <w:color w:val="auto"/>
          <w:sz w:val="32"/>
          <w:szCs w:val="32"/>
          <w:lang w:eastAsia="zh-CN"/>
        </w:rPr>
        <w:t>市外办</w:t>
      </w:r>
      <w:r>
        <w:rPr>
          <w:rFonts w:hint="eastAsia" w:ascii="黑体" w:hAnsi="宋体" w:eastAsia="黑体" w:cs="黑体"/>
          <w:color w:val="auto"/>
          <w:sz w:val="32"/>
          <w:szCs w:val="32"/>
          <w:lang w:val="en-US" w:eastAsia="zh-CN"/>
        </w:rPr>
        <w:t>2019</w:t>
      </w:r>
      <w:r>
        <w:rPr>
          <w:rFonts w:hint="eastAsia" w:ascii="黑体" w:hAnsi="宋体" w:eastAsia="黑体" w:cs="黑体"/>
          <w:color w:val="auto"/>
          <w:sz w:val="32"/>
          <w:szCs w:val="32"/>
        </w:rPr>
        <w:t>年部门预算表</w:t>
      </w:r>
    </w:p>
    <w:p>
      <w:pPr>
        <w:ind w:firstLine="640" w:firstLineChars="200"/>
        <w:rPr>
          <w:rFonts w:ascii="仿宋_GB2312" w:eastAsia="仿宋_GB2312" w:cs="Times New Roman"/>
          <w:color w:val="auto"/>
          <w:sz w:val="32"/>
          <w:szCs w:val="32"/>
        </w:rPr>
      </w:pPr>
      <w:r>
        <w:rPr>
          <w:rFonts w:ascii="仿宋_GB2312" w:hAnsi="宋体" w:eastAsia="仿宋_GB2312" w:cs="仿宋_GB2312"/>
          <w:color w:val="auto"/>
          <w:sz w:val="32"/>
          <w:szCs w:val="32"/>
        </w:rPr>
        <w:t xml:space="preserve">    </w:t>
      </w:r>
      <w:r>
        <w:rPr>
          <w:rFonts w:hint="eastAsia" w:ascii="仿宋_GB2312" w:hAnsi="宋体" w:eastAsia="仿宋_GB2312" w:cs="仿宋_GB2312"/>
          <w:color w:val="auto"/>
          <w:sz w:val="32"/>
          <w:szCs w:val="32"/>
        </w:rPr>
        <w:t>一、收支预算总表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二、部门收入总表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三、部门支出总表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四、财政拨款收支总表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五、一般公共预算支出表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六、一般公共预算基本支出表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七、一般公共预算“三公”经费支出表</w:t>
      </w:r>
    </w:p>
    <w:p>
      <w:pPr>
        <w:ind w:firstLine="1280" w:firstLineChars="400"/>
        <w:rPr>
          <w:rFonts w:ascii="仿宋_GB2312" w:eastAsia="仿宋_GB2312" w:cs="Times New Roman"/>
          <w:color w:val="auto"/>
          <w:sz w:val="32"/>
          <w:szCs w:val="32"/>
        </w:rPr>
      </w:pPr>
      <w:r>
        <w:rPr>
          <w:rFonts w:hint="eastAsia" w:ascii="仿宋_GB2312" w:hAnsi="宋体" w:eastAsia="仿宋_GB2312" w:cs="仿宋_GB2312"/>
          <w:color w:val="auto"/>
          <w:sz w:val="32"/>
          <w:szCs w:val="32"/>
        </w:rPr>
        <w:t>八、政府性基金预算支出表</w:t>
      </w:r>
    </w:p>
    <w:p>
      <w:pPr>
        <w:rPr>
          <w:rFonts w:ascii="仿宋_GB2312" w:eastAsia="仿宋_GB2312" w:cs="Times New Roman"/>
          <w:b/>
          <w:bCs/>
          <w:color w:val="auto"/>
          <w:sz w:val="32"/>
          <w:szCs w:val="32"/>
        </w:rPr>
      </w:pPr>
      <w:r>
        <w:rPr>
          <w:rFonts w:ascii="仿宋_GB2312" w:hAnsi="宋体" w:eastAsia="仿宋_GB2312" w:cs="仿宋_GB2312"/>
          <w:color w:val="auto"/>
          <w:sz w:val="32"/>
          <w:szCs w:val="32"/>
        </w:rPr>
        <w:t xml:space="preserve">   </w:t>
      </w:r>
      <w:r>
        <w:rPr>
          <w:rFonts w:hint="eastAsia" w:ascii="黑体" w:hAnsi="宋体" w:eastAsia="黑体" w:cs="黑体"/>
          <w:color w:val="auto"/>
          <w:sz w:val="32"/>
          <w:szCs w:val="32"/>
        </w:rPr>
        <w:t>第四部分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名词解释</w:t>
      </w:r>
    </w:p>
    <w:p>
      <w:pPr>
        <w:rPr>
          <w:rFonts w:ascii="仿宋_GB2312" w:eastAsia="仿宋_GB2312" w:cs="Times New Roman"/>
          <w:b/>
          <w:bCs/>
          <w:color w:val="auto"/>
          <w:sz w:val="32"/>
          <w:szCs w:val="32"/>
        </w:rPr>
      </w:pPr>
    </w:p>
    <w:p>
      <w:pPr>
        <w:rPr>
          <w:rFonts w:ascii="仿宋_GB2312" w:eastAsia="仿宋_GB2312" w:cs="Times New Roman"/>
          <w:b/>
          <w:bCs/>
          <w:color w:val="auto"/>
          <w:sz w:val="32"/>
          <w:szCs w:val="32"/>
        </w:rPr>
      </w:pPr>
    </w:p>
    <w:p>
      <w:pPr>
        <w:ind w:firstLine="1920" w:firstLineChars="600"/>
        <w:rPr>
          <w:rFonts w:ascii="黑体" w:hAnsi="宋体" w:eastAsia="黑体" w:cs="Times New Roman"/>
          <w:color w:val="auto"/>
          <w:sz w:val="32"/>
          <w:szCs w:val="32"/>
        </w:rPr>
      </w:pPr>
      <w:r>
        <w:rPr>
          <w:rFonts w:hint="eastAsia" w:ascii="黑体" w:hAnsi="宋体" w:eastAsia="黑体" w:cs="黑体"/>
          <w:color w:val="auto"/>
          <w:sz w:val="32"/>
          <w:szCs w:val="32"/>
        </w:rPr>
        <w:t>第一部分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景德镇市</w:t>
      </w:r>
      <w:r>
        <w:rPr>
          <w:rFonts w:hint="eastAsia" w:ascii="黑体" w:hAnsi="宋体" w:eastAsia="黑体" w:cs="黑体"/>
          <w:color w:val="auto"/>
          <w:sz w:val="32"/>
          <w:szCs w:val="32"/>
          <w:lang w:eastAsia="zh-CN"/>
        </w:rPr>
        <w:t>外办</w:t>
      </w:r>
      <w:r>
        <w:rPr>
          <w:rFonts w:hint="eastAsia" w:ascii="黑体" w:hAnsi="宋体" w:eastAsia="黑体" w:cs="黑体"/>
          <w:color w:val="auto"/>
          <w:sz w:val="32"/>
          <w:szCs w:val="32"/>
        </w:rPr>
        <w:t>概况</w:t>
      </w:r>
    </w:p>
    <w:p>
      <w:pPr>
        <w:keepNext w:val="0"/>
        <w:keepLines w:val="0"/>
        <w:pageBreakBefore w:val="0"/>
        <w:widowControl w:val="0"/>
        <w:kinsoku/>
        <w:wordWrap/>
        <w:overflowPunct/>
        <w:topLinePunct w:val="0"/>
        <w:autoSpaceDE/>
        <w:autoSpaceDN/>
        <w:bidi w:val="0"/>
        <w:adjustRightInd/>
        <w:snapToGrid/>
        <w:spacing w:line="580" w:lineRule="exact"/>
        <w:ind w:firstLine="630" w:firstLineChars="196"/>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lang w:eastAsia="zh-CN"/>
        </w:rPr>
      </w:pPr>
      <w:r>
        <w:rPr>
          <w:rFonts w:hint="eastAsia" w:ascii="仿宋_GB2312" w:hAnsi="宋体" w:eastAsia="仿宋_GB2312" w:cs="仿宋_GB2312"/>
          <w:color w:val="auto"/>
          <w:sz w:val="32"/>
          <w:szCs w:val="32"/>
          <w:lang w:eastAsia="zh-CN"/>
        </w:rPr>
        <w:t>市外办是市</w:t>
      </w:r>
      <w:r>
        <w:rPr>
          <w:rFonts w:eastAsia="仿宋_GB2312"/>
          <w:color w:val="auto"/>
          <w:sz w:val="32"/>
          <w:szCs w:val="32"/>
        </w:rPr>
        <w:t>政府工作部门</w:t>
      </w:r>
      <w:r>
        <w:rPr>
          <w:rFonts w:hint="eastAsia" w:eastAsia="仿宋_GB2312"/>
          <w:color w:val="auto"/>
          <w:sz w:val="32"/>
          <w:szCs w:val="32"/>
          <w:lang w:eastAsia="zh-CN"/>
        </w:rPr>
        <w:t>，根据《市委办公室</w:t>
      </w:r>
      <w:r>
        <w:rPr>
          <w:rFonts w:hint="eastAsia" w:eastAsia="仿宋_GB2312"/>
          <w:color w:val="auto"/>
          <w:sz w:val="32"/>
          <w:szCs w:val="32"/>
          <w:lang w:val="en-US" w:eastAsia="zh-CN"/>
        </w:rPr>
        <w:t xml:space="preserve"> 市政府办公室关于印发〈景德镇市机构改革实施方案〉的通知</w:t>
      </w:r>
      <w:r>
        <w:rPr>
          <w:rFonts w:hint="eastAsia" w:eastAsia="仿宋_GB2312"/>
          <w:color w:val="auto"/>
          <w:sz w:val="32"/>
          <w:szCs w:val="32"/>
          <w:lang w:eastAsia="zh-CN"/>
        </w:rPr>
        <w:t>》</w:t>
      </w:r>
      <w:r>
        <w:rPr>
          <w:rFonts w:hint="eastAsia" w:eastAsia="仿宋_GB2312"/>
          <w:color w:val="auto"/>
          <w:sz w:val="32"/>
          <w:szCs w:val="32"/>
          <w:lang w:val="en-US" w:eastAsia="zh-CN"/>
        </w:rPr>
        <w:t>（</w:t>
      </w:r>
      <w:r>
        <w:rPr>
          <w:rFonts w:hint="eastAsia" w:eastAsia="仿宋_GB2312"/>
          <w:color w:val="auto"/>
          <w:sz w:val="32"/>
          <w:szCs w:val="32"/>
          <w:lang w:eastAsia="zh-CN"/>
        </w:rPr>
        <w:t>景办发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2019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2号</w:t>
      </w:r>
      <w:r>
        <w:rPr>
          <w:rFonts w:hint="eastAsia" w:eastAsia="仿宋_GB2312"/>
          <w:color w:val="auto"/>
          <w:sz w:val="32"/>
          <w:szCs w:val="32"/>
          <w:lang w:val="en-US" w:eastAsia="zh-CN"/>
        </w:rPr>
        <w:t>）精神，更名为市政府外事办公室。原外侨办</w:t>
      </w:r>
      <w:r>
        <w:rPr>
          <w:rFonts w:hint="eastAsia" w:eastAsia="仿宋_GB2312"/>
          <w:color w:val="auto"/>
          <w:sz w:val="32"/>
          <w:szCs w:val="32"/>
          <w:lang w:eastAsia="zh-CN"/>
        </w:rPr>
        <w:t>主要职责是（新三定方案暂未出台）：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1、贯彻执行党和国家对外方针政策和侨务工作的政策、法规；贯彻落实省委、省政府、市委、市政府关于外事侨务工作的指示和决定；督促有关部门贯彻执行外事侨务工作的方针政策和有关规定。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2、负责全市外事礼宾业务管理和指导工作，办理市级领导人的对外交往事宜。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3、协调全市各部门的外事活动，负责或会同有关部门处理重大涉外事宜。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4、管理因公出国（境）和邀请外国人来景访问工作。审核因公出国人员的护照；负责或指导对外事干部或出国人员和团组进行对外政策和外事纪律教育和业务培训。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5、协同有关部门做好国家安全以及我市对外参观点的开辟、调整工作。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6、负责全市与国外友好城市的缔结与交流工作、交往活动。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7、配合有关部门做好对外宣传和外事政策、纪律教育。会同有关部门审核重要涉外报导稿件。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8、配合纪检监察部门、国家安全及保密部门监督检查外事纪律及涉外保密制度的执行情况。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pacing w:val="-6"/>
          <w:sz w:val="32"/>
          <w:szCs w:val="32"/>
        </w:rPr>
      </w:pPr>
      <w:r>
        <w:rPr>
          <w:rFonts w:hint="eastAsia" w:eastAsia="仿宋_GB2312"/>
          <w:color w:val="auto"/>
          <w:sz w:val="32"/>
          <w:szCs w:val="32"/>
        </w:rPr>
        <w:t>9、负</w:t>
      </w:r>
      <w:r>
        <w:rPr>
          <w:rFonts w:hint="eastAsia" w:eastAsia="仿宋_GB2312"/>
          <w:color w:val="auto"/>
          <w:spacing w:val="-6"/>
          <w:sz w:val="32"/>
          <w:szCs w:val="32"/>
        </w:rPr>
        <w:t>责港澳同胞来市定居的审核报批和安置工作；指导本市对归侨、侨眷的扶贫救济工作和港澳同胞在景眷属的有关工作。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10、负责华侨、华人、港澳同胞、归侨和侨眷的来信来访工作；捐赠接受和捐建工作；保护归侨、侨眷合法权益。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eastAsia="仿宋_GB2312"/>
          <w:color w:val="auto"/>
          <w:sz w:val="32"/>
          <w:szCs w:val="32"/>
        </w:rPr>
      </w:pPr>
      <w:r>
        <w:rPr>
          <w:rFonts w:hint="eastAsia" w:eastAsia="仿宋_GB2312"/>
          <w:color w:val="auto"/>
          <w:sz w:val="32"/>
          <w:szCs w:val="32"/>
        </w:rPr>
        <w:t>11、负责组织接待来访重要外宾、华侨、华人、港澳同胞中重点人物和从事公务活动的各国外交人员及外国记者。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Calibri" w:hAnsi="Calibri" w:eastAsia="仿宋_GB2312" w:cs="Calibri"/>
          <w:color w:val="auto"/>
          <w:sz w:val="32"/>
          <w:szCs w:val="32"/>
          <w:lang w:eastAsia="zh-CN"/>
        </w:rPr>
      </w:pPr>
      <w:r>
        <w:rPr>
          <w:rFonts w:hint="eastAsia" w:eastAsia="仿宋_GB2312"/>
          <w:color w:val="auto"/>
          <w:sz w:val="32"/>
          <w:szCs w:val="32"/>
        </w:rPr>
        <w:t>12、承办市政府交办的其他事项。</w:t>
      </w:r>
    </w:p>
    <w:p>
      <w:pPr>
        <w:keepNext w:val="0"/>
        <w:keepLines w:val="0"/>
        <w:pageBreakBefore w:val="0"/>
        <w:widowControl w:val="0"/>
        <w:kinsoku/>
        <w:wordWrap/>
        <w:overflowPunct/>
        <w:topLinePunct w:val="0"/>
        <w:autoSpaceDE/>
        <w:autoSpaceDN/>
        <w:bidi w:val="0"/>
        <w:adjustRightInd/>
        <w:snapToGrid/>
        <w:spacing w:line="580" w:lineRule="exact"/>
        <w:ind w:firstLine="630" w:firstLineChars="196"/>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eastAsia="仿宋_GB2312" w:cs="Times New Roman"/>
          <w:color w:val="auto"/>
          <w:sz w:val="32"/>
          <w:szCs w:val="32"/>
        </w:rPr>
      </w:pPr>
      <w:r>
        <w:rPr>
          <w:rFonts w:hint="eastAsia" w:ascii="仿宋_GB2312" w:hAnsi="宋体" w:eastAsia="仿宋_GB2312" w:cs="仿宋_GB2312"/>
          <w:color w:val="auto"/>
          <w:sz w:val="32"/>
          <w:szCs w:val="32"/>
          <w:lang w:eastAsia="zh-CN"/>
        </w:rPr>
        <w:t>本部门</w:t>
      </w:r>
      <w:r>
        <w:rPr>
          <w:rFonts w:hint="eastAsia" w:ascii="仿宋_GB2312" w:hAnsi="宋体" w:eastAsia="仿宋_GB2312" w:cs="仿宋_GB2312"/>
          <w:color w:val="auto"/>
          <w:sz w:val="32"/>
          <w:szCs w:val="32"/>
        </w:rPr>
        <w:t>共有预算单位</w:t>
      </w:r>
      <w:r>
        <w:rPr>
          <w:rFonts w:hint="eastAsia" w:ascii="仿宋_GB2312" w:hAnsi="宋体" w:eastAsia="仿宋_GB2312" w:cs="仿宋_GB2312"/>
          <w:color w:val="auto"/>
          <w:sz w:val="32"/>
          <w:szCs w:val="32"/>
          <w:lang w:val="en-US" w:eastAsia="zh-CN"/>
        </w:rPr>
        <w:t>2</w:t>
      </w:r>
      <w:r>
        <w:rPr>
          <w:rFonts w:hint="eastAsia" w:ascii="仿宋_GB2312" w:hAnsi="宋体" w:eastAsia="仿宋_GB2312" w:cs="仿宋_GB2312"/>
          <w:color w:val="auto"/>
          <w:sz w:val="32"/>
          <w:szCs w:val="32"/>
        </w:rPr>
        <w:t>个，包括</w:t>
      </w:r>
      <w:r>
        <w:rPr>
          <w:rFonts w:hint="eastAsia" w:ascii="仿宋_GB2312" w:hAnsi="宋体" w:eastAsia="仿宋_GB2312" w:cs="仿宋_GB2312"/>
          <w:color w:val="auto"/>
          <w:sz w:val="32"/>
          <w:szCs w:val="32"/>
          <w:lang w:eastAsia="zh-CN"/>
        </w:rPr>
        <w:t>办</w:t>
      </w:r>
      <w:r>
        <w:rPr>
          <w:rFonts w:hint="eastAsia" w:ascii="仿宋_GB2312" w:hAnsi="宋体" w:eastAsia="仿宋_GB2312" w:cs="仿宋_GB2312"/>
          <w:color w:val="auto"/>
          <w:sz w:val="32"/>
          <w:szCs w:val="32"/>
        </w:rPr>
        <w:t>本级和所属</w:t>
      </w:r>
      <w:r>
        <w:rPr>
          <w:rFonts w:hint="eastAsia" w:ascii="仿宋_GB2312" w:hAnsi="宋体" w:eastAsia="仿宋_GB2312" w:cs="仿宋_GB2312"/>
          <w:color w:val="auto"/>
          <w:sz w:val="32"/>
          <w:szCs w:val="32"/>
          <w:lang w:val="en-US" w:eastAsia="zh-CN"/>
        </w:rPr>
        <w:t>1个</w:t>
      </w:r>
      <w:r>
        <w:rPr>
          <w:rFonts w:hint="eastAsia" w:ascii="仿宋_GB2312" w:hAnsi="宋体" w:eastAsia="仿宋_GB2312" w:cs="仿宋_GB2312"/>
          <w:color w:val="auto"/>
          <w:sz w:val="32"/>
          <w:szCs w:val="32"/>
        </w:rPr>
        <w:t>二级预算单位。编制数为</w:t>
      </w:r>
      <w:r>
        <w:rPr>
          <w:rFonts w:hint="eastAsia" w:ascii="仿宋_GB2312" w:hAnsi="宋体" w:eastAsia="仿宋_GB2312" w:cs="仿宋_GB2312"/>
          <w:color w:val="auto"/>
          <w:sz w:val="32"/>
          <w:szCs w:val="32"/>
          <w:lang w:val="en-US" w:eastAsia="zh-CN"/>
        </w:rPr>
        <w:t>20</w:t>
      </w:r>
      <w:r>
        <w:rPr>
          <w:rFonts w:hint="eastAsia" w:ascii="仿宋_GB2312" w:hAnsi="宋体" w:eastAsia="仿宋_GB2312" w:cs="仿宋_GB2312"/>
          <w:color w:val="auto"/>
          <w:sz w:val="32"/>
          <w:szCs w:val="32"/>
        </w:rPr>
        <w:t>人，其中行政编制</w:t>
      </w:r>
      <w:r>
        <w:rPr>
          <w:rFonts w:hint="eastAsia" w:ascii="仿宋_GB2312" w:hAnsi="宋体" w:eastAsia="仿宋_GB2312" w:cs="仿宋_GB2312"/>
          <w:color w:val="auto"/>
          <w:sz w:val="32"/>
          <w:szCs w:val="32"/>
          <w:lang w:val="en-US" w:eastAsia="zh-CN"/>
        </w:rPr>
        <w:t>10</w:t>
      </w:r>
      <w:r>
        <w:rPr>
          <w:rFonts w:hint="eastAsia" w:ascii="仿宋_GB2312" w:hAnsi="宋体" w:eastAsia="仿宋_GB2312" w:cs="仿宋_GB2312"/>
          <w:color w:val="auto"/>
          <w:sz w:val="32"/>
          <w:szCs w:val="32"/>
        </w:rPr>
        <w:t>人、全额补助事业编制</w:t>
      </w:r>
      <w:r>
        <w:rPr>
          <w:rFonts w:hint="eastAsia" w:ascii="仿宋_GB2312" w:hAnsi="宋体" w:eastAsia="仿宋_GB2312" w:cs="仿宋_GB2312"/>
          <w:color w:val="auto"/>
          <w:sz w:val="32"/>
          <w:szCs w:val="32"/>
          <w:lang w:val="en-US" w:eastAsia="zh-CN"/>
        </w:rPr>
        <w:t>10</w:t>
      </w:r>
      <w:r>
        <w:rPr>
          <w:rFonts w:hint="eastAsia" w:ascii="仿宋_GB2312" w:hAnsi="宋体" w:eastAsia="仿宋_GB2312" w:cs="仿宋_GB2312"/>
          <w:color w:val="auto"/>
          <w:sz w:val="32"/>
          <w:szCs w:val="32"/>
        </w:rPr>
        <w:t>人；实有人数</w:t>
      </w:r>
      <w:r>
        <w:rPr>
          <w:rFonts w:hint="eastAsia" w:ascii="仿宋_GB2312" w:hAnsi="宋体" w:eastAsia="仿宋_GB2312" w:cs="仿宋_GB2312"/>
          <w:color w:val="auto"/>
          <w:sz w:val="32"/>
          <w:szCs w:val="32"/>
          <w:lang w:val="en-US" w:eastAsia="zh-CN"/>
        </w:rPr>
        <w:t>23</w:t>
      </w:r>
      <w:r>
        <w:rPr>
          <w:rFonts w:hint="eastAsia" w:ascii="仿宋_GB2312" w:hAnsi="宋体" w:eastAsia="仿宋_GB2312" w:cs="仿宋_GB2312"/>
          <w:color w:val="auto"/>
          <w:sz w:val="32"/>
          <w:szCs w:val="32"/>
        </w:rPr>
        <w:t>人，其中在职人数为</w:t>
      </w:r>
      <w:r>
        <w:rPr>
          <w:rFonts w:hint="eastAsia" w:ascii="仿宋_GB2312" w:hAnsi="宋体" w:eastAsia="仿宋_GB2312" w:cs="仿宋_GB2312"/>
          <w:color w:val="auto"/>
          <w:sz w:val="32"/>
          <w:szCs w:val="32"/>
          <w:lang w:val="en-US" w:eastAsia="zh-CN"/>
        </w:rPr>
        <w:t>18</w:t>
      </w:r>
      <w:r>
        <w:rPr>
          <w:rFonts w:hint="eastAsia" w:ascii="仿宋_GB2312" w:hAnsi="宋体" w:eastAsia="仿宋_GB2312" w:cs="仿宋_GB2312"/>
          <w:color w:val="auto"/>
          <w:sz w:val="32"/>
          <w:szCs w:val="32"/>
        </w:rPr>
        <w:t>人，包括行政人员</w:t>
      </w:r>
      <w:r>
        <w:rPr>
          <w:rFonts w:hint="eastAsia" w:ascii="仿宋_GB2312" w:hAnsi="宋体" w:eastAsia="仿宋_GB2312" w:cs="仿宋_GB2312"/>
          <w:color w:val="auto"/>
          <w:sz w:val="32"/>
          <w:szCs w:val="32"/>
          <w:lang w:val="en-US" w:eastAsia="zh-CN"/>
        </w:rPr>
        <w:t>7</w:t>
      </w:r>
      <w:r>
        <w:rPr>
          <w:rFonts w:hint="eastAsia" w:ascii="仿宋_GB2312" w:hAnsi="宋体" w:eastAsia="仿宋_GB2312" w:cs="仿宋_GB2312"/>
          <w:color w:val="auto"/>
          <w:sz w:val="32"/>
          <w:szCs w:val="32"/>
        </w:rPr>
        <w:t>人、全额补助事业人员</w:t>
      </w:r>
      <w:r>
        <w:rPr>
          <w:rFonts w:hint="eastAsia" w:ascii="仿宋_GB2312" w:hAnsi="宋体" w:eastAsia="仿宋_GB2312" w:cs="仿宋_GB2312"/>
          <w:color w:val="auto"/>
          <w:sz w:val="32"/>
          <w:szCs w:val="32"/>
          <w:lang w:val="en-US" w:eastAsia="zh-CN"/>
        </w:rPr>
        <w:t>9</w:t>
      </w:r>
      <w:r>
        <w:rPr>
          <w:rFonts w:hint="eastAsia" w:ascii="仿宋_GB2312" w:hAnsi="宋体" w:eastAsia="仿宋_GB2312" w:cs="仿宋_GB2312"/>
          <w:color w:val="auto"/>
          <w:sz w:val="32"/>
          <w:szCs w:val="32"/>
        </w:rPr>
        <w:t>人；退休人员</w:t>
      </w:r>
      <w:r>
        <w:rPr>
          <w:rFonts w:hint="eastAsia" w:ascii="仿宋_GB2312" w:hAnsi="宋体" w:eastAsia="仿宋_GB2312" w:cs="仿宋_GB2312"/>
          <w:color w:val="auto"/>
          <w:sz w:val="32"/>
          <w:szCs w:val="32"/>
          <w:lang w:val="en-US" w:eastAsia="zh-CN"/>
        </w:rPr>
        <w:t>7</w:t>
      </w:r>
      <w:r>
        <w:rPr>
          <w:rFonts w:hint="eastAsia" w:ascii="仿宋_GB2312" w:hAnsi="宋体" w:eastAsia="仿宋_GB2312" w:cs="仿宋_GB2312"/>
          <w:color w:val="auto"/>
          <w:sz w:val="32"/>
          <w:szCs w:val="32"/>
        </w:rPr>
        <w:t>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宋体" w:eastAsia="黑体" w:cs="黑体"/>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黑体" w:hAnsi="宋体" w:eastAsia="黑体" w:cs="Times New Roman"/>
          <w:color w:val="auto"/>
          <w:sz w:val="32"/>
          <w:szCs w:val="32"/>
        </w:rPr>
      </w:pPr>
      <w:r>
        <w:rPr>
          <w:rFonts w:hint="eastAsia" w:ascii="黑体" w:hAnsi="宋体" w:eastAsia="黑体" w:cs="黑体"/>
          <w:color w:val="auto"/>
          <w:sz w:val="32"/>
          <w:szCs w:val="32"/>
        </w:rPr>
        <w:t>第二部分</w:t>
      </w:r>
      <w:r>
        <w:rPr>
          <w:rFonts w:ascii="黑体" w:hAnsi="宋体" w:eastAsia="黑体" w:cs="黑体"/>
          <w:color w:val="auto"/>
          <w:sz w:val="32"/>
          <w:szCs w:val="32"/>
        </w:rPr>
        <w:t xml:space="preserve"> </w:t>
      </w:r>
      <w:r>
        <w:rPr>
          <w:rFonts w:hint="eastAsia" w:ascii="黑体" w:hAnsi="宋体" w:eastAsia="黑体" w:cs="黑体"/>
          <w:color w:val="auto"/>
          <w:sz w:val="32"/>
          <w:szCs w:val="32"/>
          <w:lang w:eastAsia="zh-CN"/>
        </w:rPr>
        <w:t>市外办</w:t>
      </w:r>
      <w:r>
        <w:rPr>
          <w:rFonts w:hint="eastAsia" w:ascii="黑体" w:hAnsi="宋体" w:eastAsia="黑体" w:cs="黑体"/>
          <w:color w:val="auto"/>
          <w:sz w:val="32"/>
          <w:szCs w:val="32"/>
          <w:lang w:val="en-US" w:eastAsia="zh-CN"/>
        </w:rPr>
        <w:t>2019年</w:t>
      </w:r>
      <w:r>
        <w:rPr>
          <w:rFonts w:hint="eastAsia" w:ascii="黑体" w:hAnsi="宋体" w:eastAsia="黑体" w:cs="黑体"/>
          <w:color w:val="auto"/>
          <w:sz w:val="32"/>
          <w:szCs w:val="32"/>
        </w:rPr>
        <w:t>部门预算情况说明</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w:t>
      </w:r>
      <w:r>
        <w:rPr>
          <w:rFonts w:hint="eastAsia" w:ascii="仿宋_GB2312" w:hAnsi="宋体" w:eastAsia="仿宋_GB2312" w:cs="仿宋_GB2312"/>
          <w:b/>
          <w:bCs/>
          <w:color w:val="auto"/>
          <w:sz w:val="32"/>
          <w:szCs w:val="32"/>
          <w:lang w:val="en-US" w:eastAsia="zh-CN"/>
        </w:rPr>
        <w:t>2019</w:t>
      </w:r>
      <w:r>
        <w:rPr>
          <w:rFonts w:hint="eastAsia" w:ascii="仿宋_GB2312" w:hAnsi="宋体" w:eastAsia="仿宋_GB2312" w:cs="仿宋_GB2312"/>
          <w:b/>
          <w:bCs/>
          <w:color w:val="auto"/>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80" w:lineRule="exact"/>
        <w:ind w:firstLine="482" w:firstLineChars="15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ascii="仿宋_GB2312" w:eastAsia="仿宋_GB2312" w:cs="Times New Roman"/>
          <w:color w:val="auto"/>
          <w:sz w:val="32"/>
          <w:szCs w:val="32"/>
        </w:rPr>
      </w:pPr>
      <w:r>
        <w:rPr>
          <w:rFonts w:hint="eastAsia" w:ascii="仿宋_GB2312" w:hAnsi="宋体" w:eastAsia="仿宋_GB2312" w:cs="仿宋_GB2312"/>
          <w:color w:val="auto"/>
          <w:sz w:val="32"/>
          <w:szCs w:val="32"/>
          <w:lang w:eastAsia="zh-CN"/>
        </w:rPr>
        <w:t>2019</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本部门</w:t>
      </w:r>
      <w:r>
        <w:rPr>
          <w:rFonts w:hint="eastAsia" w:ascii="仿宋_GB2312" w:hAnsi="宋体" w:eastAsia="仿宋_GB2312" w:cs="仿宋_GB2312"/>
          <w:color w:val="auto"/>
          <w:sz w:val="32"/>
          <w:szCs w:val="32"/>
        </w:rPr>
        <w:t>收入预算总额为</w:t>
      </w:r>
      <w:r>
        <w:rPr>
          <w:rFonts w:hint="eastAsia" w:ascii="仿宋_GB2312" w:hAnsi="宋体" w:eastAsia="仿宋_GB2312" w:cs="仿宋_GB2312"/>
          <w:color w:val="auto"/>
          <w:sz w:val="32"/>
          <w:szCs w:val="32"/>
          <w:lang w:val="en-US" w:eastAsia="zh-CN"/>
        </w:rPr>
        <w:t>384.22</w:t>
      </w:r>
      <w:r>
        <w:rPr>
          <w:rFonts w:hint="eastAsia" w:ascii="仿宋_GB2312" w:hAnsi="宋体" w:eastAsia="仿宋_GB2312" w:cs="仿宋_GB2312"/>
          <w:color w:val="auto"/>
          <w:sz w:val="32"/>
          <w:szCs w:val="32"/>
        </w:rPr>
        <w:t>万元，与上年预算相比</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32.33万元（人员增加）</w:t>
      </w:r>
      <w:r>
        <w:rPr>
          <w:rFonts w:hint="eastAsia" w:ascii="仿宋_GB2312" w:hAnsi="宋体" w:eastAsia="仿宋_GB2312" w:cs="仿宋_GB2312"/>
          <w:color w:val="auto"/>
          <w:sz w:val="32"/>
          <w:szCs w:val="32"/>
        </w:rPr>
        <w:t>。其中：当年公共财政拨款收入</w:t>
      </w:r>
      <w:r>
        <w:rPr>
          <w:rFonts w:hint="eastAsia" w:ascii="仿宋_GB2312" w:hAnsi="宋体" w:eastAsia="仿宋_GB2312" w:cs="仿宋_GB2312"/>
          <w:color w:val="auto"/>
          <w:sz w:val="32"/>
          <w:szCs w:val="32"/>
          <w:lang w:val="en-US" w:eastAsia="zh-CN"/>
        </w:rPr>
        <w:t>242.98</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63.24</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；上年结余结转收入</w:t>
      </w:r>
      <w:r>
        <w:rPr>
          <w:rFonts w:hint="eastAsia" w:ascii="仿宋_GB2312" w:hAnsi="宋体" w:eastAsia="仿宋_GB2312" w:cs="仿宋_GB2312"/>
          <w:color w:val="auto"/>
          <w:sz w:val="32"/>
          <w:szCs w:val="32"/>
          <w:lang w:val="en-US" w:eastAsia="zh-CN"/>
        </w:rPr>
        <w:t>141.24</w:t>
      </w:r>
      <w:r>
        <w:rPr>
          <w:rFonts w:hint="eastAsia" w:ascii="仿宋_GB2312" w:hAnsi="宋体" w:eastAsia="仿宋_GB2312" w:cs="仿宋_GB2312"/>
          <w:color w:val="auto"/>
          <w:sz w:val="32"/>
          <w:szCs w:val="32"/>
        </w:rPr>
        <w:t>万元，占收入预算总额的</w:t>
      </w:r>
      <w:r>
        <w:rPr>
          <w:rFonts w:hint="eastAsia" w:ascii="仿宋_GB2312" w:hAnsi="宋体" w:eastAsia="仿宋_GB2312" w:cs="仿宋_GB2312"/>
          <w:color w:val="auto"/>
          <w:sz w:val="32"/>
          <w:szCs w:val="32"/>
          <w:lang w:val="en-US" w:eastAsia="zh-CN"/>
        </w:rPr>
        <w:t>36.76</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lang w:eastAsia="zh-CN"/>
        </w:rPr>
        <w:t>2019</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本部门</w:t>
      </w:r>
      <w:r>
        <w:rPr>
          <w:rFonts w:hint="eastAsia" w:ascii="仿宋_GB2312" w:hAnsi="宋体" w:eastAsia="仿宋_GB2312" w:cs="仿宋_GB2312"/>
          <w:color w:val="auto"/>
          <w:sz w:val="32"/>
          <w:szCs w:val="32"/>
        </w:rPr>
        <w:t>支出预算总额为</w:t>
      </w:r>
      <w:r>
        <w:rPr>
          <w:rFonts w:hint="eastAsia" w:ascii="仿宋_GB2312" w:hAnsi="宋体" w:eastAsia="仿宋_GB2312" w:cs="仿宋_GB2312"/>
          <w:color w:val="auto"/>
          <w:sz w:val="32"/>
          <w:szCs w:val="32"/>
          <w:lang w:val="en-US" w:eastAsia="zh-CN"/>
        </w:rPr>
        <w:t>384.22</w:t>
      </w:r>
      <w:r>
        <w:rPr>
          <w:rFonts w:hint="eastAsia" w:ascii="仿宋_GB2312" w:hAnsi="宋体" w:eastAsia="仿宋_GB2312" w:cs="仿宋_GB2312"/>
          <w:color w:val="auto"/>
          <w:sz w:val="32"/>
          <w:szCs w:val="32"/>
        </w:rPr>
        <w:t>万元，与上年预算相比</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32.33万元</w:t>
      </w:r>
      <w:r>
        <w:rPr>
          <w:rFonts w:hint="eastAsia" w:ascii="仿宋_GB2312" w:hAnsi="宋体" w:eastAsia="仿宋_GB2312" w:cs="仿宋_GB2312"/>
          <w:color w:val="auto"/>
          <w:sz w:val="32"/>
          <w:szCs w:val="32"/>
        </w:rPr>
        <w:t>。其中：按支出项目类别划分：基本支出</w:t>
      </w:r>
      <w:r>
        <w:rPr>
          <w:rFonts w:hint="eastAsia" w:ascii="仿宋_GB2312" w:hAnsi="宋体" w:eastAsia="仿宋_GB2312" w:cs="仿宋_GB2312"/>
          <w:color w:val="auto"/>
          <w:sz w:val="32"/>
          <w:szCs w:val="32"/>
          <w:lang w:val="en-US" w:eastAsia="zh-CN"/>
        </w:rPr>
        <w:t>313.22</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81.52</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，包括工资福利支出</w:t>
      </w:r>
      <w:r>
        <w:rPr>
          <w:rFonts w:hint="eastAsia" w:ascii="仿宋_GB2312" w:hAnsi="宋体" w:eastAsia="仿宋_GB2312" w:cs="仿宋_GB2312"/>
          <w:color w:val="auto"/>
          <w:sz w:val="32"/>
          <w:szCs w:val="32"/>
          <w:lang w:val="en-US" w:eastAsia="zh-CN"/>
        </w:rPr>
        <w:t>161.11</w:t>
      </w:r>
      <w:r>
        <w:rPr>
          <w:rFonts w:hint="eastAsia" w:ascii="仿宋_GB2312" w:hAnsi="宋体" w:eastAsia="仿宋_GB2312" w:cs="仿宋_GB2312"/>
          <w:color w:val="auto"/>
          <w:sz w:val="32"/>
          <w:szCs w:val="32"/>
        </w:rPr>
        <w:t>万元、商品和服务支出</w:t>
      </w:r>
      <w:r>
        <w:rPr>
          <w:rFonts w:hint="eastAsia" w:ascii="仿宋_GB2312" w:hAnsi="宋体" w:eastAsia="仿宋_GB2312" w:cs="仿宋_GB2312"/>
          <w:color w:val="auto"/>
          <w:sz w:val="32"/>
          <w:szCs w:val="32"/>
          <w:lang w:val="en-US" w:eastAsia="zh-CN"/>
        </w:rPr>
        <w:t>151.75</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、对个人和家庭的补助</w:t>
      </w:r>
      <w:r>
        <w:rPr>
          <w:rFonts w:hint="eastAsia" w:ascii="仿宋_GB2312" w:hAnsi="宋体" w:eastAsia="仿宋_GB2312" w:cs="仿宋_GB2312"/>
          <w:color w:val="auto"/>
          <w:sz w:val="32"/>
          <w:szCs w:val="32"/>
          <w:lang w:val="en-US" w:eastAsia="zh-CN"/>
        </w:rPr>
        <w:t>0.36万元</w:t>
      </w:r>
      <w:r>
        <w:rPr>
          <w:rFonts w:hint="eastAsia" w:ascii="仿宋_GB2312" w:hAnsi="宋体" w:eastAsia="仿宋_GB2312" w:cs="仿宋_GB2312"/>
          <w:color w:val="auto"/>
          <w:sz w:val="32"/>
          <w:szCs w:val="32"/>
        </w:rPr>
        <w:t>；项目支出</w:t>
      </w:r>
      <w:r>
        <w:rPr>
          <w:rFonts w:hint="eastAsia" w:ascii="仿宋_GB2312" w:hAnsi="宋体" w:eastAsia="仿宋_GB2312" w:cs="仿宋_GB2312"/>
          <w:color w:val="auto"/>
          <w:sz w:val="32"/>
          <w:szCs w:val="32"/>
          <w:lang w:val="en-US" w:eastAsia="zh-CN"/>
        </w:rPr>
        <w:t>71</w:t>
      </w:r>
      <w:r>
        <w:rPr>
          <w:rFonts w:hint="eastAsia" w:ascii="仿宋_GB2312" w:hAnsi="宋体" w:eastAsia="仿宋_GB2312" w:cs="仿宋_GB2312"/>
          <w:color w:val="auto"/>
          <w:sz w:val="32"/>
          <w:szCs w:val="32"/>
        </w:rPr>
        <w:t>万元，占支出总额的</w:t>
      </w:r>
      <w:r>
        <w:rPr>
          <w:rFonts w:hint="eastAsia" w:ascii="仿宋_GB2312" w:hAnsi="宋体" w:eastAsia="仿宋_GB2312" w:cs="仿宋_GB2312"/>
          <w:color w:val="auto"/>
          <w:sz w:val="32"/>
          <w:szCs w:val="32"/>
          <w:lang w:val="en-US" w:eastAsia="zh-CN"/>
        </w:rPr>
        <w:t>18.48</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_GB2312" w:eastAsia="仿宋_GB2312" w:cs="Times New Roman"/>
          <w:color w:val="auto"/>
          <w:sz w:val="32"/>
          <w:szCs w:val="32"/>
        </w:rPr>
      </w:pPr>
      <w:r>
        <w:rPr>
          <w:rFonts w:hint="eastAsia" w:ascii="仿宋_GB2312" w:hAnsi="宋体" w:eastAsia="仿宋_GB2312" w:cs="仿宋_GB2312"/>
          <w:b/>
          <w:bCs/>
          <w:color w:val="auto"/>
          <w:sz w:val="32"/>
          <w:szCs w:val="32"/>
        </w:rPr>
        <w:t>（三）经费拨款支出情况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eastAsia="zh-CN"/>
        </w:rPr>
        <w:t>2019</w:t>
      </w:r>
      <w:r>
        <w:rPr>
          <w:rFonts w:hint="eastAsia" w:ascii="仿宋_GB2312" w:hAnsi="宋体" w:eastAsia="仿宋_GB2312" w:cs="仿宋_GB2312"/>
          <w:color w:val="auto"/>
          <w:sz w:val="32"/>
          <w:szCs w:val="32"/>
        </w:rPr>
        <w:t>年</w:t>
      </w:r>
      <w:r>
        <w:rPr>
          <w:rFonts w:hint="eastAsia" w:ascii="仿宋_GB2312" w:hAnsi="宋体" w:eastAsia="仿宋_GB2312" w:cs="仿宋_GB2312"/>
          <w:color w:val="auto"/>
          <w:sz w:val="32"/>
          <w:szCs w:val="32"/>
          <w:lang w:eastAsia="zh-CN"/>
        </w:rPr>
        <w:t>本部门</w:t>
      </w:r>
      <w:r>
        <w:rPr>
          <w:rFonts w:hint="eastAsia" w:ascii="仿宋_GB2312" w:hAnsi="宋体" w:eastAsia="仿宋_GB2312" w:cs="仿宋_GB2312"/>
          <w:color w:val="auto"/>
          <w:sz w:val="32"/>
          <w:szCs w:val="32"/>
        </w:rPr>
        <w:t>经费拨款支出预算</w:t>
      </w:r>
      <w:r>
        <w:rPr>
          <w:rFonts w:hint="eastAsia" w:ascii="仿宋_GB2312" w:hAnsi="宋体" w:eastAsia="仿宋_GB2312" w:cs="仿宋_GB2312"/>
          <w:color w:val="auto"/>
          <w:sz w:val="32"/>
          <w:szCs w:val="32"/>
          <w:lang w:val="en-US" w:eastAsia="zh-CN"/>
        </w:rPr>
        <w:t>242.98</w:t>
      </w:r>
      <w:r>
        <w:rPr>
          <w:rFonts w:hint="eastAsia" w:ascii="仿宋_GB2312" w:hAnsi="宋体" w:eastAsia="仿宋_GB2312" w:cs="仿宋_GB2312"/>
          <w:color w:val="auto"/>
          <w:sz w:val="32"/>
          <w:szCs w:val="32"/>
        </w:rPr>
        <w:t>万元，占支出预算总额的</w:t>
      </w:r>
      <w:r>
        <w:rPr>
          <w:rFonts w:hint="eastAsia" w:ascii="仿宋_GB2312" w:hAnsi="宋体" w:eastAsia="仿宋_GB2312" w:cs="仿宋_GB2312"/>
          <w:color w:val="auto"/>
          <w:sz w:val="32"/>
          <w:szCs w:val="32"/>
          <w:lang w:val="en-US" w:eastAsia="zh-CN"/>
        </w:rPr>
        <w:t>63.24</w:t>
      </w:r>
      <w:r>
        <w:rPr>
          <w:rFonts w:ascii="仿宋_GB2312" w:hAnsi="宋体" w:eastAsia="仿宋_GB2312" w:cs="仿宋_GB2312"/>
          <w:color w:val="auto"/>
          <w:sz w:val="32"/>
          <w:szCs w:val="32"/>
        </w:rPr>
        <w:t>%</w:t>
      </w:r>
      <w:r>
        <w:rPr>
          <w:rFonts w:hint="eastAsia" w:ascii="仿宋_GB2312" w:hAnsi="宋体" w:eastAsia="仿宋_GB2312" w:cs="仿宋_GB2312"/>
          <w:color w:val="auto"/>
          <w:sz w:val="32"/>
          <w:szCs w:val="32"/>
        </w:rPr>
        <w:t>，与上年预算相比</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4.02万元</w:t>
      </w:r>
      <w:r>
        <w:rPr>
          <w:rFonts w:hint="eastAsia" w:ascii="仿宋_GB2312" w:hAnsi="宋体" w:eastAsia="仿宋_GB2312" w:cs="仿宋_GB2312"/>
          <w:color w:val="auto"/>
          <w:sz w:val="32"/>
          <w:szCs w:val="32"/>
        </w:rPr>
        <w:t>。具体支出情况是：</w:t>
      </w:r>
      <w:r>
        <w:rPr>
          <w:rFonts w:hint="eastAsia" w:ascii="仿宋_GB2312" w:hAnsi="宋体" w:eastAsia="仿宋_GB2312" w:cs="仿宋_GB2312"/>
          <w:color w:val="auto"/>
          <w:sz w:val="32"/>
          <w:szCs w:val="32"/>
          <w:lang w:eastAsia="zh-CN"/>
        </w:rPr>
        <w:t>一般公共服务</w:t>
      </w:r>
      <w:r>
        <w:rPr>
          <w:rFonts w:hint="eastAsia" w:ascii="仿宋_GB2312" w:hAnsi="宋体" w:eastAsia="仿宋_GB2312" w:cs="仿宋_GB2312"/>
          <w:color w:val="auto"/>
          <w:sz w:val="32"/>
          <w:szCs w:val="32"/>
          <w:lang w:val="en-US" w:eastAsia="zh-CN"/>
        </w:rPr>
        <w:t>196.59万元，占支出预算总额的63.24%；社会保障和就业支出20.41万元，占支出财政拨款支出预算的8.4%；卫生健康支出14.18万元，占公共财政拨款支出预算的5.84%；住房保障支出11.80万元，占公共财政拨款支出预算的4.86%。</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54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政府采购预算情况</w:t>
      </w:r>
    </w:p>
    <w:p>
      <w:pPr>
        <w:keepNext w:val="0"/>
        <w:keepLines w:val="0"/>
        <w:pageBreakBefore w:val="0"/>
        <w:widowControl w:val="0"/>
        <w:tabs>
          <w:tab w:val="left" w:pos="1162"/>
        </w:tabs>
        <w:kinsoku/>
        <w:wordWrap/>
        <w:overflowPunct/>
        <w:topLinePunct w:val="0"/>
        <w:autoSpaceDE/>
        <w:autoSpaceDN/>
        <w:bidi w:val="0"/>
        <w:adjustRightInd/>
        <w:snapToGrid/>
        <w:spacing w:line="580" w:lineRule="exact"/>
        <w:ind w:left="0" w:leftChars="0" w:firstLine="739" w:firstLineChars="231"/>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lang w:val="en-US" w:eastAsia="zh-CN"/>
        </w:rPr>
        <w:t>2019年政府采购预算为21.8万元，其中：部门集中采购为21.8万元。</w:t>
      </w:r>
    </w:p>
    <w:p>
      <w:pPr>
        <w:keepNext w:val="0"/>
        <w:keepLines w:val="0"/>
        <w:pageBreakBefore w:val="0"/>
        <w:widowControl w:val="0"/>
        <w:tabs>
          <w:tab w:val="left" w:pos="1162"/>
        </w:tabs>
        <w:kinsoku/>
        <w:wordWrap/>
        <w:overflowPunct/>
        <w:topLinePunct w:val="0"/>
        <w:autoSpaceDE/>
        <w:autoSpaceDN/>
        <w:bidi w:val="0"/>
        <w:adjustRightInd/>
        <w:snapToGrid/>
        <w:spacing w:line="580" w:lineRule="exact"/>
        <w:ind w:left="420" w:leftChars="200" w:firstLine="321" w:firstLineChars="100"/>
        <w:textAlignment w:val="auto"/>
        <w:rPr>
          <w:rFonts w:hint="eastAsia" w:ascii="仿宋_GB2312" w:hAnsi="宋体" w:eastAsia="仿宋_GB2312" w:cs="仿宋_GB2312"/>
          <w:b/>
          <w:bCs/>
          <w:color w:val="auto"/>
          <w:sz w:val="32"/>
          <w:szCs w:val="32"/>
        </w:rPr>
      </w:pPr>
      <w:r>
        <w:rPr>
          <w:rFonts w:hint="eastAsia" w:ascii="仿宋_GB2312" w:hAnsi="宋体" w:eastAsia="仿宋_GB2312" w:cs="仿宋_GB2312"/>
          <w:b/>
          <w:bCs/>
          <w:color w:val="auto"/>
          <w:sz w:val="32"/>
          <w:szCs w:val="32"/>
        </w:rPr>
        <w:t>（五）政府基金收支情况</w:t>
      </w:r>
    </w:p>
    <w:p>
      <w:pPr>
        <w:keepNext w:val="0"/>
        <w:keepLines w:val="0"/>
        <w:pageBreakBefore w:val="0"/>
        <w:widowControl w:val="0"/>
        <w:tabs>
          <w:tab w:val="left" w:pos="1162"/>
        </w:tabs>
        <w:kinsoku/>
        <w:wordWrap/>
        <w:overflowPunct/>
        <w:topLinePunct w:val="0"/>
        <w:autoSpaceDE/>
        <w:autoSpaceDN/>
        <w:bidi w:val="0"/>
        <w:adjustRightInd/>
        <w:snapToGrid/>
        <w:spacing w:line="580" w:lineRule="exact"/>
        <w:ind w:left="420" w:leftChars="200" w:firstLine="320" w:firstLineChars="100"/>
        <w:textAlignment w:val="auto"/>
        <w:rPr>
          <w:rFonts w:ascii="仿宋_GB2312" w:eastAsia="仿宋_GB2312" w:cs="Times New Roman"/>
          <w:color w:val="auto"/>
          <w:sz w:val="32"/>
          <w:szCs w:val="32"/>
        </w:rPr>
      </w:pPr>
      <w:r>
        <w:rPr>
          <w:rFonts w:hint="eastAsia" w:ascii="仿宋_GB2312" w:hAnsi="宋体" w:eastAsia="仿宋_GB2312" w:cs="仿宋_GB2312"/>
          <w:color w:val="auto"/>
          <w:sz w:val="32"/>
          <w:szCs w:val="32"/>
          <w:lang w:val="en-US" w:eastAsia="zh-CN"/>
        </w:rPr>
        <w:t>2019年</w:t>
      </w:r>
      <w:r>
        <w:rPr>
          <w:rFonts w:hint="eastAsia" w:ascii="仿宋_GB2312" w:hAnsi="宋体" w:eastAsia="仿宋_GB2312" w:cs="仿宋_GB2312"/>
          <w:color w:val="auto"/>
          <w:sz w:val="32"/>
          <w:szCs w:val="32"/>
        </w:rPr>
        <w:t>无政府基金收支预算</w:t>
      </w:r>
      <w:r>
        <w:rPr>
          <w:rFonts w:hint="eastAsia" w:ascii="仿宋_GB2312" w:hAnsi="宋体" w:eastAsia="仿宋_GB2312" w:cs="仿宋_GB2312"/>
          <w:color w:val="auto"/>
          <w:sz w:val="32"/>
          <w:szCs w:val="32"/>
          <w:lang w:eastAsia="zh-CN"/>
        </w:rPr>
        <w:t>支出</w:t>
      </w:r>
      <w:r>
        <w:rPr>
          <w:rFonts w:hint="eastAsia" w:ascii="仿宋_GB2312" w:hAnsi="宋体" w:eastAsia="仿宋_GB2312" w:cs="仿宋_GB2312"/>
          <w:color w:val="auto"/>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43" w:firstLineChars="20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机关运行经费安排情况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eastAsia="仿宋_GB2312" w:cs="Times New Roman"/>
          <w:color w:val="auto"/>
          <w:sz w:val="32"/>
          <w:szCs w:val="32"/>
        </w:rPr>
      </w:pPr>
      <w:r>
        <w:rPr>
          <w:rFonts w:hint="eastAsia" w:ascii="仿宋_GB2312" w:hAnsi="宋体" w:eastAsia="仿宋_GB2312" w:cs="仿宋_GB2312"/>
          <w:color w:val="auto"/>
          <w:sz w:val="32"/>
          <w:szCs w:val="32"/>
          <w:lang w:val="en-US" w:eastAsia="zh-CN"/>
        </w:rPr>
        <w:t>2019年本部门机关运行经费21.5万元，</w:t>
      </w:r>
      <w:r>
        <w:rPr>
          <w:rFonts w:hint="eastAsia" w:ascii="仿宋_GB2312" w:hAnsi="宋体" w:eastAsia="仿宋_GB2312" w:cs="仿宋_GB2312"/>
          <w:color w:val="auto"/>
          <w:sz w:val="32"/>
          <w:szCs w:val="32"/>
        </w:rPr>
        <w:t>与上年预算相比</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0.71万元。其中：办公费5.21万元；水电费1.8万元；邮电费1.1万元；差旅费2万元；手续费0.4万元；劳务费0.3万元；工会经费1.5万元；印刷费0.1万元；福利费0.38万元；在职公务交通补贴8.17万元；离退休人员公用经费0.14万元；领导干部住宅电话补贴0.4万元。</w:t>
      </w:r>
    </w:p>
    <w:p>
      <w:pPr>
        <w:keepNext w:val="0"/>
        <w:keepLines w:val="0"/>
        <w:pageBreakBefore w:val="0"/>
        <w:widowControl w:val="0"/>
        <w:tabs>
          <w:tab w:val="left" w:pos="1113"/>
        </w:tabs>
        <w:kinsoku/>
        <w:wordWrap/>
        <w:overflowPunct/>
        <w:topLinePunct w:val="0"/>
        <w:autoSpaceDE/>
        <w:autoSpaceDN/>
        <w:bidi w:val="0"/>
        <w:adjustRightInd/>
        <w:snapToGrid/>
        <w:spacing w:line="580" w:lineRule="exact"/>
        <w:ind w:firstLine="643" w:firstLineChars="200"/>
        <w:textAlignment w:val="auto"/>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二、</w:t>
      </w:r>
      <w:r>
        <w:rPr>
          <w:rFonts w:hint="eastAsia" w:ascii="仿宋_GB2312" w:hAnsi="宋体" w:eastAsia="仿宋_GB2312" w:cs="仿宋_GB2312"/>
          <w:b/>
          <w:bCs/>
          <w:color w:val="auto"/>
          <w:sz w:val="32"/>
          <w:szCs w:val="32"/>
          <w:lang w:eastAsia="zh-CN"/>
        </w:rPr>
        <w:t>2</w:t>
      </w:r>
      <w:r>
        <w:rPr>
          <w:rFonts w:hint="eastAsia" w:ascii="仿宋_GB2312" w:hAnsi="宋体" w:eastAsia="仿宋_GB2312" w:cs="仿宋_GB2312"/>
          <w:b/>
          <w:bCs/>
          <w:color w:val="auto"/>
          <w:sz w:val="32"/>
          <w:szCs w:val="32"/>
          <w:lang w:val="en-US" w:eastAsia="zh-CN"/>
        </w:rPr>
        <w:t>019</w:t>
      </w:r>
      <w:r>
        <w:rPr>
          <w:rFonts w:hint="eastAsia" w:ascii="仿宋_GB2312" w:hAnsi="宋体" w:eastAsia="仿宋_GB2312" w:cs="仿宋_GB2312"/>
          <w:b/>
          <w:bCs/>
          <w:color w:val="auto"/>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2019年本部门“三公”经费年初预算安排33.92万元。其中：因公出国（境）费13.92万元，比上年增加11.42万元。主要原因：新增拓展“一带一路”沿线国家友好城市工作组出访经费。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公务接待费20万元，较上年增加18.8万元。主要原因：今年将外宾接待纳入了公务接待。</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黑体" w:eastAsia="黑体" w:cs="Times New Roman"/>
          <w:color w:val="auto"/>
          <w:sz w:val="32"/>
          <w:szCs w:val="32"/>
        </w:rPr>
      </w:pPr>
      <w:r>
        <w:rPr>
          <w:rFonts w:hint="eastAsia" w:ascii="黑体" w:hAnsi="宋体" w:eastAsia="黑体" w:cs="黑体"/>
          <w:color w:val="auto"/>
          <w:sz w:val="32"/>
          <w:szCs w:val="32"/>
        </w:rPr>
        <w:t>第三部分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景德镇</w:t>
      </w:r>
      <w:r>
        <w:rPr>
          <w:rFonts w:hint="eastAsia" w:ascii="黑体" w:hAnsi="宋体" w:eastAsia="黑体" w:cs="黑体"/>
          <w:color w:val="auto"/>
          <w:sz w:val="32"/>
          <w:szCs w:val="32"/>
          <w:lang w:eastAsia="zh-CN"/>
        </w:rPr>
        <w:t>市外办</w:t>
      </w:r>
      <w:r>
        <w:rPr>
          <w:rFonts w:hint="eastAsia" w:ascii="黑体" w:hAnsi="宋体" w:eastAsia="黑体" w:cs="黑体"/>
          <w:color w:val="auto"/>
          <w:sz w:val="32"/>
          <w:szCs w:val="32"/>
          <w:lang w:val="en-US" w:eastAsia="zh-CN"/>
        </w:rPr>
        <w:t>2019</w:t>
      </w:r>
      <w:r>
        <w:rPr>
          <w:rFonts w:hint="eastAsia" w:ascii="黑体" w:hAnsi="宋体" w:eastAsia="黑体" w:cs="黑体"/>
          <w:color w:val="auto"/>
          <w:sz w:val="32"/>
          <w:szCs w:val="32"/>
        </w:rPr>
        <w:t>年部门预算表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cs="Times New Roman"/>
          <w:color w:val="auto"/>
          <w:sz w:val="32"/>
          <w:szCs w:val="32"/>
        </w:rPr>
      </w:pPr>
      <w:r>
        <w:rPr>
          <w:rFonts w:hint="eastAsia" w:ascii="仿宋_GB2312" w:hAnsi="宋体" w:eastAsia="仿宋_GB2312" w:cs="仿宋_GB2312"/>
          <w:color w:val="auto"/>
          <w:sz w:val="32"/>
          <w:szCs w:val="32"/>
        </w:rPr>
        <w:t>八张表（详见附表）</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cs="Times New Roman"/>
          <w:b/>
          <w:bCs/>
          <w:color w:val="auto"/>
          <w:sz w:val="32"/>
          <w:szCs w:val="32"/>
        </w:rPr>
      </w:pPr>
      <w:r>
        <w:rPr>
          <w:rFonts w:hint="eastAsia" w:ascii="黑体" w:hAnsi="宋体" w:eastAsia="黑体" w:cs="黑体"/>
          <w:color w:val="auto"/>
          <w:sz w:val="32"/>
          <w:szCs w:val="32"/>
        </w:rPr>
        <w:t>第四部分</w:t>
      </w:r>
      <w:r>
        <w:rPr>
          <w:rFonts w:ascii="黑体" w:hAnsi="宋体" w:eastAsia="黑体" w:cs="黑体"/>
          <w:color w:val="auto"/>
          <w:sz w:val="32"/>
          <w:szCs w:val="32"/>
        </w:rPr>
        <w:t xml:space="preserve">  </w:t>
      </w:r>
      <w:r>
        <w:rPr>
          <w:rFonts w:hint="eastAsia" w:ascii="黑体" w:hAnsi="宋体" w:eastAsia="黑体" w:cs="黑体"/>
          <w:color w:val="auto"/>
          <w:sz w:val="32"/>
          <w:szCs w:val="32"/>
        </w:rPr>
        <w:t>名词解释</w:t>
      </w:r>
    </w:p>
    <w:p>
      <w:pPr>
        <w:keepNext w:val="0"/>
        <w:keepLines w:val="0"/>
        <w:pageBreakBefore w:val="0"/>
        <w:widowControl w:val="0"/>
        <w:kinsoku/>
        <w:wordWrap/>
        <w:overflowPunct/>
        <w:topLinePunct w:val="0"/>
        <w:autoSpaceDE/>
        <w:autoSpaceDN/>
        <w:bidi w:val="0"/>
        <w:adjustRightInd/>
        <w:snapToGrid/>
        <w:spacing w:line="580" w:lineRule="exact"/>
        <w:ind w:firstLine="562"/>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b/>
          <w:bCs/>
          <w:color w:val="auto"/>
          <w:sz w:val="32"/>
          <w:szCs w:val="32"/>
          <w:lang w:eastAsia="zh-CN"/>
        </w:rPr>
        <w:t>（一）</w:t>
      </w:r>
      <w:r>
        <w:rPr>
          <w:rFonts w:hint="eastAsia" w:ascii="仿宋_GB2312" w:hAnsi="宋体" w:eastAsia="仿宋_GB2312" w:cs="仿宋_GB2312"/>
          <w:b/>
          <w:bCs/>
          <w:color w:val="auto"/>
          <w:sz w:val="32"/>
          <w:szCs w:val="32"/>
        </w:rPr>
        <w:t>一般公共服务（类</w:t>
      </w:r>
      <w:r>
        <w:rPr>
          <w:rFonts w:hint="eastAsia" w:ascii="仿宋_GB2312" w:hAnsi="宋体" w:eastAsia="仿宋_GB2312" w:cs="仿宋_GB2312"/>
          <w:b/>
          <w:bCs/>
          <w:color w:val="auto"/>
          <w:sz w:val="32"/>
          <w:szCs w:val="32"/>
          <w:lang w:val="en-US" w:eastAsia="zh-CN"/>
        </w:rPr>
        <w:t>201</w:t>
      </w:r>
      <w:r>
        <w:rPr>
          <w:rFonts w:hint="eastAsia" w:ascii="仿宋_GB2312" w:hAnsi="宋体" w:eastAsia="仿宋_GB2312" w:cs="仿宋_GB2312"/>
          <w:b/>
          <w:bCs/>
          <w:color w:val="auto"/>
          <w:sz w:val="32"/>
          <w:szCs w:val="32"/>
        </w:rPr>
        <w:t>）</w:t>
      </w:r>
      <w:r>
        <w:rPr>
          <w:rFonts w:hint="eastAsia" w:ascii="仿宋_GB2312" w:hAnsi="宋体" w:eastAsia="仿宋_GB2312" w:cs="仿宋_GB2312"/>
          <w:b/>
          <w:bCs/>
          <w:color w:val="auto"/>
          <w:sz w:val="32"/>
          <w:szCs w:val="32"/>
          <w:lang w:eastAsia="zh-CN"/>
        </w:rPr>
        <w:t>港澳台事务（款</w:t>
      </w:r>
      <w:r>
        <w:rPr>
          <w:rFonts w:hint="eastAsia" w:ascii="仿宋_GB2312" w:hAnsi="宋体" w:eastAsia="仿宋_GB2312" w:cs="仿宋_GB2312"/>
          <w:b/>
          <w:bCs/>
          <w:color w:val="auto"/>
          <w:sz w:val="32"/>
          <w:szCs w:val="32"/>
          <w:lang w:val="en-US" w:eastAsia="zh-CN"/>
        </w:rPr>
        <w:t>20125）：</w:t>
      </w:r>
      <w:r>
        <w:rPr>
          <w:rFonts w:hint="eastAsia" w:ascii="仿宋_GB2312" w:hAnsi="宋体" w:eastAsia="仿宋_GB2312" w:cs="仿宋_GB2312"/>
          <w:color w:val="auto"/>
          <w:sz w:val="32"/>
          <w:szCs w:val="32"/>
          <w:lang w:val="en-US" w:eastAsia="zh-CN"/>
        </w:rPr>
        <w:t>反映用于港澳台事务方面的支出。</w:t>
      </w:r>
    </w:p>
    <w:p>
      <w:pPr>
        <w:keepNext w:val="0"/>
        <w:keepLines w:val="0"/>
        <w:pageBreakBefore w:val="0"/>
        <w:widowControl w:val="0"/>
        <w:kinsoku/>
        <w:wordWrap/>
        <w:overflowPunct/>
        <w:topLinePunct w:val="0"/>
        <w:autoSpaceDE/>
        <w:autoSpaceDN/>
        <w:bidi w:val="0"/>
        <w:adjustRightInd/>
        <w:snapToGrid/>
        <w:spacing w:line="580" w:lineRule="exact"/>
        <w:ind w:firstLine="562"/>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行政运行（项</w:t>
      </w:r>
      <w:r>
        <w:rPr>
          <w:rFonts w:hint="eastAsia" w:ascii="仿宋_GB2312" w:hAnsi="宋体" w:eastAsia="仿宋_GB2312" w:cs="仿宋_GB2312"/>
          <w:color w:val="auto"/>
          <w:sz w:val="32"/>
          <w:szCs w:val="32"/>
          <w:lang w:val="en-US" w:eastAsia="zh-CN"/>
        </w:rPr>
        <w:t>2012501</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反映行政单位（包括实行公务员事业单位）的基本支出。</w:t>
      </w:r>
    </w:p>
    <w:p>
      <w:pPr>
        <w:keepNext w:val="0"/>
        <w:keepLines w:val="0"/>
        <w:pageBreakBefore w:val="0"/>
        <w:widowControl w:val="0"/>
        <w:kinsoku/>
        <w:wordWrap/>
        <w:overflowPunct/>
        <w:topLinePunct w:val="0"/>
        <w:autoSpaceDE/>
        <w:autoSpaceDN/>
        <w:bidi w:val="0"/>
        <w:adjustRightInd/>
        <w:snapToGrid/>
        <w:spacing w:line="580" w:lineRule="exact"/>
        <w:ind w:firstLine="562"/>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eastAsia="zh-CN"/>
        </w:rPr>
        <w:t>一般行政管理事务（项</w:t>
      </w:r>
      <w:r>
        <w:rPr>
          <w:rFonts w:hint="eastAsia" w:ascii="仿宋_GB2312" w:hAnsi="宋体" w:eastAsia="仿宋_GB2312" w:cs="仿宋_GB2312"/>
          <w:color w:val="auto"/>
          <w:sz w:val="32"/>
          <w:szCs w:val="32"/>
          <w:lang w:val="en-US" w:eastAsia="zh-CN"/>
        </w:rPr>
        <w:t>2012502）：反映行政单位（包括实行公务员事业单位）未单独设置项级科目的其他项目支出。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580" w:lineRule="exact"/>
        <w:ind w:firstLine="562"/>
        <w:textAlignment w:val="auto"/>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事业运行（项2012550）：反映事业单位的基本支出，不包括行政单位（包括实行公务员事业单位）后勤服务中心、医务室等附属事业单位。</w:t>
      </w:r>
    </w:p>
    <w:p>
      <w:pPr>
        <w:keepNext w:val="0"/>
        <w:keepLines w:val="0"/>
        <w:pageBreakBefore w:val="0"/>
        <w:widowControl w:val="0"/>
        <w:numPr>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b/>
          <w:bCs/>
          <w:color w:val="auto"/>
          <w:sz w:val="32"/>
          <w:szCs w:val="32"/>
          <w:lang w:eastAsia="zh-CN"/>
        </w:rPr>
        <w:t>（二）社会保障和就业支出（类</w:t>
      </w:r>
      <w:r>
        <w:rPr>
          <w:rFonts w:hint="eastAsia" w:ascii="仿宋_GB2312" w:eastAsia="仿宋_GB2312" w:cs="Times New Roman"/>
          <w:b/>
          <w:bCs/>
          <w:color w:val="auto"/>
          <w:sz w:val="32"/>
          <w:szCs w:val="32"/>
          <w:lang w:val="en-US" w:eastAsia="zh-CN"/>
        </w:rPr>
        <w:t>208）行政事业单位医疗（款20805）:</w:t>
      </w:r>
      <w:r>
        <w:rPr>
          <w:rFonts w:hint="eastAsia" w:ascii="仿宋_GB2312" w:eastAsia="仿宋_GB2312" w:cs="Times New Roman"/>
          <w:color w:val="auto"/>
          <w:sz w:val="32"/>
          <w:szCs w:val="32"/>
          <w:lang w:val="en-US" w:eastAsia="zh-CN"/>
        </w:rPr>
        <w:t>反映用于行政事业单位离退休方面的支出。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eastAsia="zh-CN"/>
        </w:rPr>
      </w:pPr>
      <w:r>
        <w:rPr>
          <w:rFonts w:hint="eastAsia" w:ascii="仿宋_GB2312" w:eastAsia="仿宋_GB2312" w:cs="Times New Roman"/>
          <w:color w:val="auto"/>
          <w:sz w:val="32"/>
          <w:szCs w:val="32"/>
          <w:lang w:eastAsia="zh-CN"/>
        </w:rPr>
        <w:t>未归口管理的行政事业单位离退休（项</w:t>
      </w:r>
      <w:r>
        <w:rPr>
          <w:rFonts w:hint="eastAsia" w:ascii="仿宋_GB2312" w:eastAsia="仿宋_GB2312" w:cs="Times New Roman"/>
          <w:color w:val="auto"/>
          <w:sz w:val="32"/>
          <w:szCs w:val="32"/>
          <w:lang w:val="en-US" w:eastAsia="zh-CN"/>
        </w:rPr>
        <w:t>2080504）：反映未实行未归口管理的行政单位（包括实行公务员管理的事业单位）开支的离退休支出。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eastAsia="zh-CN"/>
        </w:rPr>
        <w:t>机关事业单位基本养老保险缴费支出（项</w:t>
      </w:r>
      <w:r>
        <w:rPr>
          <w:rFonts w:hint="eastAsia" w:ascii="仿宋_GB2312" w:eastAsia="仿宋_GB2312" w:cs="Times New Roman"/>
          <w:color w:val="auto"/>
          <w:sz w:val="32"/>
          <w:szCs w:val="32"/>
          <w:lang w:val="en-US" w:eastAsia="zh-CN"/>
        </w:rPr>
        <w:t>2080505）：反映机关事业单位实施养老保险制度由单位缴纳的基本养老保险费支出。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b/>
          <w:bCs/>
          <w:color w:val="auto"/>
          <w:sz w:val="32"/>
          <w:szCs w:val="32"/>
          <w:lang w:val="en-US" w:eastAsia="zh-CN"/>
        </w:rPr>
        <w:t>（三）卫生健康支出（类210）行政事业单位医疗（款21011）：</w:t>
      </w:r>
      <w:r>
        <w:rPr>
          <w:rFonts w:hint="eastAsia" w:ascii="仿宋_GB2312" w:eastAsia="仿宋_GB2312" w:cs="Times New Roman"/>
          <w:color w:val="auto"/>
          <w:sz w:val="32"/>
          <w:szCs w:val="32"/>
          <w:lang w:val="en-US" w:eastAsia="zh-CN"/>
        </w:rPr>
        <w:t>反映行政事业单位医疗方面的支出。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行政单位医疗（项2101101）：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事业单位医疗（项2101102）：反映财政部门安排的事业单位基本医疗保险缴费经费，未参加医疗保险的事业单位的公费医疗经费，按国家规定享受离休人员待遇的医疗经费。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公务员医疗补助（项2101103）：反映财政单位安排的公务员医疗补助经费。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其他行政事业单位医疗支出（项2101199）：反映除上述项目以外的其他用于行政事业单位医疗方面的支出。</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b/>
          <w:bCs/>
          <w:color w:val="auto"/>
          <w:sz w:val="32"/>
          <w:szCs w:val="32"/>
          <w:lang w:val="en-US" w:eastAsia="zh-CN"/>
        </w:rPr>
        <w:t>（四）</w:t>
      </w:r>
      <w:r>
        <w:rPr>
          <w:rFonts w:hint="eastAsia" w:ascii="仿宋_GB2312" w:eastAsia="仿宋_GB2312" w:cs="Times New Roman"/>
          <w:b/>
          <w:bCs/>
          <w:color w:val="auto"/>
          <w:sz w:val="32"/>
          <w:szCs w:val="32"/>
          <w:lang w:eastAsia="zh-CN"/>
        </w:rPr>
        <w:t>住房保障支出（类</w:t>
      </w:r>
      <w:r>
        <w:rPr>
          <w:rFonts w:hint="eastAsia" w:ascii="仿宋_GB2312" w:eastAsia="仿宋_GB2312" w:cs="Times New Roman"/>
          <w:b/>
          <w:bCs/>
          <w:color w:val="auto"/>
          <w:sz w:val="32"/>
          <w:szCs w:val="32"/>
          <w:lang w:val="en-US" w:eastAsia="zh-CN"/>
        </w:rPr>
        <w:t>221）住房改革支出（款22102）：</w:t>
      </w:r>
      <w:r>
        <w:rPr>
          <w:rFonts w:hint="eastAsia" w:ascii="仿宋_GB2312" w:eastAsia="仿宋_GB2312" w:cs="Times New Roman"/>
          <w:color w:val="auto"/>
          <w:sz w:val="32"/>
          <w:szCs w:val="32"/>
          <w:lang w:val="en-US" w:eastAsia="zh-CN"/>
        </w:rPr>
        <w:t>反映行政事业单位用财政拨款资金和其他资金等安排的住房改革支出。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s="Times New Roman"/>
          <w:color w:val="auto"/>
          <w:sz w:val="32"/>
          <w:szCs w:val="32"/>
          <w:lang w:eastAsia="zh-CN"/>
        </w:rPr>
      </w:pPr>
      <w:r>
        <w:rPr>
          <w:rFonts w:hint="eastAsia" w:ascii="仿宋_GB2312" w:eastAsia="仿宋_GB2312" w:cs="Times New Roman"/>
          <w:color w:val="auto"/>
          <w:sz w:val="32"/>
          <w:szCs w:val="32"/>
          <w:lang w:eastAsia="zh-CN"/>
        </w:rPr>
        <w:t>住房公积金（项</w:t>
      </w:r>
      <w:r>
        <w:rPr>
          <w:rFonts w:hint="eastAsia" w:ascii="仿宋_GB2312" w:eastAsia="仿宋_GB2312" w:cs="Times New Roman"/>
          <w:color w:val="auto"/>
          <w:sz w:val="32"/>
          <w:szCs w:val="32"/>
          <w:lang w:val="en-US" w:eastAsia="zh-CN"/>
        </w:rPr>
        <w:t>2210201）</w:t>
      </w:r>
      <w:r>
        <w:rPr>
          <w:rFonts w:hint="eastAsia" w:ascii="仿宋_GB2312" w:eastAsia="仿宋_GB2312" w:cs="Times New Roman"/>
          <w:color w:val="auto"/>
          <w:sz w:val="32"/>
          <w:szCs w:val="32"/>
          <w:lang w:eastAsia="zh-CN"/>
        </w:rPr>
        <w:t>:反映行政事业单位按人力资源和社会保障部、财政部规定的基本工资和津贴补贴以及规定比例为职工缴纳的住房公积金。</w:t>
      </w:r>
    </w:p>
    <w:p>
      <w:pPr>
        <w:ind w:firstLine="640" w:firstLineChars="200"/>
        <w:rPr>
          <w:rFonts w:hint="eastAsia" w:ascii="仿宋_GB2312" w:eastAsia="仿宋_GB2312" w:cs="Times New Roman"/>
          <w:color w:val="auto"/>
          <w:sz w:val="32"/>
          <w:szCs w:val="32"/>
          <w:lang w:eastAsia="zh-CN"/>
        </w:rPr>
      </w:pPr>
    </w:p>
    <w:p>
      <w:pPr>
        <w:rPr>
          <w:rFonts w:hint="eastAsia" w:ascii="仿宋_GB2312" w:eastAsia="仿宋_GB2312" w:cs="Times New Roman"/>
          <w:color w:val="auto"/>
          <w:sz w:val="32"/>
          <w:szCs w:val="32"/>
          <w:lang w:eastAsia="zh-CN"/>
        </w:rPr>
      </w:pPr>
      <w:r>
        <w:rPr>
          <w:rFonts w:hint="eastAsia" w:ascii="仿宋_GB2312" w:eastAsia="仿宋_GB2312" w:cs="Times New Roman"/>
          <w:color w:val="auto"/>
          <w:sz w:val="32"/>
          <w:szCs w:val="32"/>
          <w:lang w:eastAsia="zh-CN"/>
        </w:rPr>
        <w:t>附表：</w:t>
      </w:r>
      <w:bookmarkStart w:id="0" w:name="_GoBack"/>
      <w:bookmarkEnd w:id="0"/>
    </w:p>
    <w:p>
      <w:pPr>
        <w:rPr>
          <w:rFonts w:hint="eastAsia" w:ascii="仿宋_GB2312" w:eastAsia="仿宋_GB2312" w:cs="Times New Roman"/>
          <w:color w:val="auto"/>
          <w:sz w:val="32"/>
          <w:szCs w:val="32"/>
          <w:lang w:eastAsia="zh-CN"/>
        </w:rPr>
      </w:pPr>
    </w:p>
    <w:p>
      <w:r>
        <w:drawing>
          <wp:inline distT="0" distB="0" distL="114300" distR="114300">
            <wp:extent cx="5683250" cy="4506595"/>
            <wp:effectExtent l="0" t="0" r="1270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683250" cy="4506595"/>
                    </a:xfrm>
                    <a:prstGeom prst="rect">
                      <a:avLst/>
                    </a:prstGeom>
                    <a:noFill/>
                    <a:ln w="9525">
                      <a:noFill/>
                    </a:ln>
                  </pic:spPr>
                </pic:pic>
              </a:graphicData>
            </a:graphic>
          </wp:inline>
        </w:drawing>
      </w:r>
    </w:p>
    <w:p/>
    <w:p/>
    <w:p/>
    <w:p/>
    <w:p/>
    <w:p/>
    <w:p>
      <w:pPr>
        <w:rPr>
          <w:rFonts w:hint="eastAsia"/>
          <w:lang w:eastAsia="zh-CN"/>
        </w:rPr>
      </w:pPr>
    </w:p>
    <w:p>
      <w:pPr>
        <w:rPr>
          <w:rFonts w:hint="eastAsia"/>
          <w:lang w:eastAsia="zh-CN"/>
        </w:rPr>
      </w:pPr>
    </w:p>
    <w:p>
      <w:r>
        <w:drawing>
          <wp:inline distT="0" distB="0" distL="114300" distR="114300">
            <wp:extent cx="5683250" cy="495617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683250" cy="4956175"/>
                    </a:xfrm>
                    <a:prstGeom prst="rect">
                      <a:avLst/>
                    </a:prstGeom>
                    <a:noFill/>
                    <a:ln w="9525">
                      <a:noFill/>
                    </a:ln>
                  </pic:spPr>
                </pic:pic>
              </a:graphicData>
            </a:graphic>
          </wp:inline>
        </w:drawing>
      </w:r>
    </w:p>
    <w:p/>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r>
        <w:drawing>
          <wp:inline distT="0" distB="0" distL="114300" distR="114300">
            <wp:extent cx="5681980" cy="5902960"/>
            <wp:effectExtent l="0" t="0" r="1397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681980" cy="5902960"/>
                    </a:xfrm>
                    <a:prstGeom prst="rect">
                      <a:avLst/>
                    </a:prstGeom>
                    <a:noFill/>
                    <a:ln w="9525">
                      <a:noFill/>
                    </a:ln>
                  </pic:spPr>
                </pic:pic>
              </a:graphicData>
            </a:graphic>
          </wp:inline>
        </w:drawing>
      </w:r>
    </w:p>
    <w:p/>
    <w:p/>
    <w:p/>
    <w:p/>
    <w:p/>
    <w:p/>
    <w:p/>
    <w:p>
      <w:r>
        <w:drawing>
          <wp:inline distT="0" distB="0" distL="114300" distR="114300">
            <wp:extent cx="5686425" cy="3547110"/>
            <wp:effectExtent l="0" t="0" r="9525"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686425" cy="3547110"/>
                    </a:xfrm>
                    <a:prstGeom prst="rect">
                      <a:avLst/>
                    </a:prstGeom>
                    <a:noFill/>
                    <a:ln w="9525">
                      <a:noFill/>
                    </a:ln>
                  </pic:spPr>
                </pic:pic>
              </a:graphicData>
            </a:graphic>
          </wp:inline>
        </w:drawing>
      </w:r>
    </w:p>
    <w:p/>
    <w:p/>
    <w:p/>
    <w:p/>
    <w:p/>
    <w:p/>
    <w:p/>
    <w:p/>
    <w:p/>
    <w:p/>
    <w:p/>
    <w:p/>
    <w:p/>
    <w:p>
      <w:r>
        <w:drawing>
          <wp:inline distT="0" distB="0" distL="114300" distR="114300">
            <wp:extent cx="5685790" cy="5372100"/>
            <wp:effectExtent l="0" t="0" r="1016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685790" cy="5372100"/>
                    </a:xfrm>
                    <a:prstGeom prst="rect">
                      <a:avLst/>
                    </a:prstGeom>
                    <a:noFill/>
                    <a:ln w="9525">
                      <a:noFill/>
                    </a:ln>
                  </pic:spPr>
                </pic:pic>
              </a:graphicData>
            </a:graphic>
          </wp:inline>
        </w:drawing>
      </w:r>
    </w:p>
    <w:p/>
    <w:p/>
    <w:p/>
    <w:p/>
    <w:p/>
    <w:p/>
    <w:p/>
    <w:p/>
    <w:p>
      <w:r>
        <w:drawing>
          <wp:inline distT="0" distB="0" distL="114300" distR="114300">
            <wp:extent cx="5684520" cy="5892800"/>
            <wp:effectExtent l="0" t="0" r="11430" b="1270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684520" cy="5892800"/>
                    </a:xfrm>
                    <a:prstGeom prst="rect">
                      <a:avLst/>
                    </a:prstGeom>
                    <a:noFill/>
                    <a:ln w="9525">
                      <a:noFill/>
                    </a:ln>
                  </pic:spPr>
                </pic:pic>
              </a:graphicData>
            </a:graphic>
          </wp:inline>
        </w:drawing>
      </w:r>
    </w:p>
    <w:p/>
    <w:p/>
    <w:p/>
    <w:p/>
    <w:p/>
    <w:p/>
    <w:p/>
    <w:p/>
    <w:p>
      <w:pPr>
        <w:rPr>
          <w:rFonts w:hint="eastAsia"/>
          <w:lang w:eastAsia="zh-CN"/>
        </w:rPr>
      </w:pPr>
      <w:r>
        <w:drawing>
          <wp:inline distT="0" distB="0" distL="114300" distR="114300">
            <wp:extent cx="5684520" cy="1508125"/>
            <wp:effectExtent l="0" t="0" r="11430" b="158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684520" cy="1508125"/>
                    </a:xfrm>
                    <a:prstGeom prst="rect">
                      <a:avLst/>
                    </a:prstGeom>
                    <a:noFill/>
                    <a:ln w="9525">
                      <a:noFill/>
                    </a:ln>
                  </pic:spPr>
                </pic:pic>
              </a:graphicData>
            </a:graphic>
          </wp:inline>
        </w:drawing>
      </w:r>
    </w:p>
    <w:sectPr>
      <w:footerReference r:id="rId3" w:type="default"/>
      <w:pgSz w:w="11906" w:h="16838"/>
      <w:pgMar w:top="1701" w:right="1474" w:bottom="136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65554E"/>
    <w:rsid w:val="008110CC"/>
    <w:rsid w:val="00C04C9A"/>
    <w:rsid w:val="00CB427A"/>
    <w:rsid w:val="00F500B9"/>
    <w:rsid w:val="022502CD"/>
    <w:rsid w:val="06FD38C3"/>
    <w:rsid w:val="08EE0B31"/>
    <w:rsid w:val="0FCB58D0"/>
    <w:rsid w:val="11427CB1"/>
    <w:rsid w:val="139E3D52"/>
    <w:rsid w:val="16340E97"/>
    <w:rsid w:val="163E3F5D"/>
    <w:rsid w:val="17134903"/>
    <w:rsid w:val="19076E1D"/>
    <w:rsid w:val="19FD4E64"/>
    <w:rsid w:val="1EBD751D"/>
    <w:rsid w:val="29223BE2"/>
    <w:rsid w:val="2DBB222D"/>
    <w:rsid w:val="3CA65179"/>
    <w:rsid w:val="3CAC43F9"/>
    <w:rsid w:val="4449012F"/>
    <w:rsid w:val="4AED0AC4"/>
    <w:rsid w:val="512455B4"/>
    <w:rsid w:val="518D3429"/>
    <w:rsid w:val="57CC144D"/>
    <w:rsid w:val="5E3006A0"/>
    <w:rsid w:val="62B20F12"/>
    <w:rsid w:val="657533A1"/>
    <w:rsid w:val="6FC4783C"/>
    <w:rsid w:val="7A096B5F"/>
    <w:rsid w:val="7B4102B0"/>
    <w:rsid w:val="7FC57E9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qFormat/>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7">
    <w:name w:val="Heading 2 Char"/>
    <w:basedOn w:val="5"/>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5"/>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13</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幻梦雪儿</cp:lastModifiedBy>
  <cp:lastPrinted>2019-02-26T03:16:00Z</cp:lastPrinted>
  <dcterms:modified xsi:type="dcterms:W3CDTF">2019-02-27T08:15:34Z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